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1C13" w14:textId="77777777" w:rsidR="000E71A2" w:rsidRDefault="000E71A2" w:rsidP="000E71A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pl-PL"/>
        </w:rPr>
      </w:pPr>
    </w:p>
    <w:p w14:paraId="7DB6F2D2" w14:textId="77777777" w:rsidR="000E71A2" w:rsidRDefault="000E71A2" w:rsidP="000E71A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pl-PL"/>
        </w:rPr>
      </w:pPr>
    </w:p>
    <w:p w14:paraId="6E8E4E09" w14:textId="77777777" w:rsidR="000E71A2" w:rsidRDefault="000E71A2" w:rsidP="000E71A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pl-PL"/>
        </w:rPr>
      </w:pPr>
    </w:p>
    <w:p w14:paraId="32FF23E4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110BB12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E561D3" w14:textId="77777777" w:rsidR="00A90468" w:rsidRDefault="00A90468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FE6D602" w14:textId="77777777" w:rsidR="00A90468" w:rsidRDefault="00A90468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5AD07F0" w14:textId="77777777" w:rsidR="00A90468" w:rsidRDefault="00A90468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A162361" w14:textId="77777777" w:rsidR="00A90468" w:rsidRDefault="00A90468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E582BFD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79C4408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0EAA673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POWIATOWY ZARZĄD DRÓG W ŻYRARDOWIE</w:t>
      </w:r>
    </w:p>
    <w:p w14:paraId="45003E74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3568B638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0D234BA1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1E190554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40EE36F1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  <w:r>
        <w:rPr>
          <w:rFonts w:ascii="Times New Roman" w:eastAsia="Times New Roman" w:hAnsi="Times New Roman"/>
          <w:sz w:val="28"/>
          <w:szCs w:val="24"/>
          <w:lang w:eastAsia="pl-PL"/>
        </w:rPr>
        <w:t>SZCZEGÓŁOWE SPECYFIKACJE TECHNICZNE</w:t>
      </w:r>
    </w:p>
    <w:p w14:paraId="0DBE83B6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60CF8D85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15750E32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46AE56B3" w14:textId="77777777" w:rsidR="000E71A2" w:rsidRDefault="000E71A2" w:rsidP="000E7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2940F642" w14:textId="77777777" w:rsidR="000E71A2" w:rsidRDefault="000E71A2" w:rsidP="000E71A2">
      <w:pPr>
        <w:spacing w:after="0" w:line="240" w:lineRule="auto"/>
        <w:rPr>
          <w:rFonts w:ascii="Times New Roman" w:eastAsia="Times New Roman" w:hAnsi="Times New Roman"/>
          <w:b/>
          <w:sz w:val="27"/>
          <w:szCs w:val="24"/>
          <w:lang w:eastAsia="pl-PL"/>
        </w:rPr>
      </w:pPr>
    </w:p>
    <w:p w14:paraId="21522065" w14:textId="489123B3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POWIERZCHNIOWE UTRWALENIE </w:t>
      </w:r>
    </w:p>
    <w:p w14:paraId="08AAE589" w14:textId="59A81C4A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NA DROGACH POWIATOWYCH NA TERENIE POWIATU ŻYRARDOWSKIEGO.</w:t>
      </w:r>
    </w:p>
    <w:p w14:paraId="1F346D85" w14:textId="77777777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395A5C5C" w14:textId="77777777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5A96157B" w14:textId="77777777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4AC2E447" w14:textId="77777777" w:rsidR="003B37F8" w:rsidRDefault="003B37F8" w:rsidP="003B37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pl-PL"/>
        </w:rPr>
      </w:pPr>
    </w:p>
    <w:p w14:paraId="31BC5468" w14:textId="77777777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14:paraId="20FEE0BE" w14:textId="77777777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14:paraId="6D008D05" w14:textId="77777777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14:paraId="492EFB44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Cs w:val="24"/>
          <w:lang w:eastAsia="pl-PL"/>
        </w:rPr>
      </w:pPr>
    </w:p>
    <w:p w14:paraId="2A6A42AF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98D0B64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2FAD0AC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B242C0E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5BAD933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C2B3147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0E29A9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A61336D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DFEC054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125274A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9611461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C57A68E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99D5CD8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4FF9A58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007E2D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1. WSTĘP</w:t>
      </w:r>
    </w:p>
    <w:p w14:paraId="77F5581D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1.1. Przedmiot SST</w:t>
      </w:r>
    </w:p>
    <w:p w14:paraId="1A425396" w14:textId="6976E36D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ab/>
        <w:t>Przedmiotem niniejszej szczegółowej specyfikacji technicznej (SST) są wymagania dotyczące wykonania i odbioru robót związanych z wykonaniem powierzchniowego utrwalenia.</w:t>
      </w:r>
    </w:p>
    <w:p w14:paraId="7D8D6F7D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1.2. Zakres stosowania SST</w:t>
      </w:r>
    </w:p>
    <w:p w14:paraId="35FB11FC" w14:textId="17EE52CF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ab/>
        <w:t>Szczegółowa specyfikacja techniczna (SST) ma zastosowanie jako dokument przetargowy i kontraktowy przy zlecaniu i realizacji robót związanych z wykonaniem   powierzchniowego utrwalenia na drogach powiatowych.</w:t>
      </w:r>
    </w:p>
    <w:p w14:paraId="7BEDC8E2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1.3. Zakres robót objętych SST</w:t>
      </w:r>
    </w:p>
    <w:p w14:paraId="6C408C39" w14:textId="499C662B" w:rsidR="003B37F8" w:rsidRDefault="003B37F8" w:rsidP="003B37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Ustalenia zawarte w niniejszej specyfikacji dotyczą zasad prowadzenia robót związanych z wykonaniem </w:t>
      </w:r>
      <w:r>
        <w:rPr>
          <w:rFonts w:ascii="Times New Roman" w:eastAsia="Times New Roman" w:hAnsi="Times New Roman"/>
          <w:sz w:val="24"/>
          <w:szCs w:val="20"/>
          <w:lang w:eastAsia="pl-PL"/>
        </w:rPr>
        <w:t>powierzchniowego utrwalenia.</w:t>
      </w:r>
    </w:p>
    <w:p w14:paraId="035045F2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1.4. Określenia podstawowe</w:t>
      </w:r>
    </w:p>
    <w:p w14:paraId="3998034C" w14:textId="46B24F6C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1.4.1. </w:t>
      </w:r>
      <w:r w:rsidRPr="003B37F8">
        <w:rPr>
          <w:rFonts w:ascii="Times New Roman" w:eastAsia="Times New Roman" w:hAnsi="Times New Roman"/>
          <w:bCs/>
          <w:sz w:val="24"/>
          <w:szCs w:val="24"/>
          <w:lang w:eastAsia="pl-PL"/>
        </w:rPr>
        <w:t>Pojedyncze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powierzchniowe utrwaleni</w:t>
      </w:r>
      <w:r w:rsidR="00F71901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jest zabiegiem polegającym na kolejnym rozłożeniu:</w:t>
      </w:r>
    </w:p>
    <w:p w14:paraId="17C33ECD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warstwy lepiszcza,</w:t>
      </w:r>
    </w:p>
    <w:p w14:paraId="384CEDD4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warstwy kruszywa o wąskiej frakcji.</w:t>
      </w:r>
    </w:p>
    <w:p w14:paraId="7541F26C" w14:textId="03EF99B1" w:rsidR="00F71901" w:rsidRDefault="00F71901" w:rsidP="00F719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1.4.2. </w:t>
      </w:r>
      <w:r w:rsidRPr="003B37F8">
        <w:rPr>
          <w:rFonts w:ascii="Times New Roman" w:eastAsia="Times New Roman" w:hAnsi="Times New Roman"/>
          <w:bCs/>
          <w:sz w:val="24"/>
          <w:szCs w:val="24"/>
          <w:lang w:eastAsia="pl-PL"/>
        </w:rPr>
        <w:t>Po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dwójne p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owierzchniowe utrwalenie jest zabiegiem polegającym na kolejnym rozłożeniu:</w:t>
      </w:r>
    </w:p>
    <w:p w14:paraId="7DFE0AD2" w14:textId="77777777" w:rsidR="00F71901" w:rsidRDefault="00F71901" w:rsidP="00F719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warstwy lepiszcza,</w:t>
      </w:r>
    </w:p>
    <w:p w14:paraId="15F22895" w14:textId="6193B305" w:rsidR="00F71901" w:rsidRDefault="00F71901" w:rsidP="00F719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warstwy kruszywa,</w:t>
      </w:r>
    </w:p>
    <w:p w14:paraId="2DF004E5" w14:textId="1EE4C8B5" w:rsidR="00F71901" w:rsidRDefault="00F71901" w:rsidP="00F719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drugiej warstwy lepiszcza,</w:t>
      </w:r>
    </w:p>
    <w:p w14:paraId="454A7F89" w14:textId="398A1A32" w:rsidR="00F71901" w:rsidRDefault="00F71901" w:rsidP="00F719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warstwy drobniejszego kruszywa.</w:t>
      </w:r>
    </w:p>
    <w:p w14:paraId="7A4CB00F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B0B2BAE" w14:textId="33CF1B24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1.4.</w:t>
      </w:r>
      <w:r w:rsidR="00F71901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Pozostałe określenia</w:t>
      </w:r>
    </w:p>
    <w:p w14:paraId="26979259" w14:textId="77777777" w:rsidR="003B37F8" w:rsidRDefault="003B37F8" w:rsidP="003B37F8">
      <w:pPr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Pozostałe określenia podstawowe są zgodne z obowiązującymi, odpowiednimi polskimi normami i z definicjami podanymi w OST D-M-00.00.00 „Wymagania ogólne”              pkt 1.4.</w:t>
      </w:r>
    </w:p>
    <w:p w14:paraId="1FD6159C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1.5. Ogólne wymagania dotyczące robót</w:t>
      </w:r>
    </w:p>
    <w:p w14:paraId="7307BAC4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wymagania dotyczące robót podano w OST D-M-00.00.00 „Wymagania ogólne” pkt 1.5.</w:t>
      </w:r>
    </w:p>
    <w:p w14:paraId="0A94DAC8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B99DB97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889D46C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2. MATERIAŁY</w:t>
      </w:r>
    </w:p>
    <w:p w14:paraId="4AA6FF49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2.1. Ogólne wymagania dotyczące materiałów</w:t>
      </w:r>
    </w:p>
    <w:p w14:paraId="039C7B60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wymagania dotyczące materiałów, ich pozyskiwania i składowania, podano            w OST D-M-00.00.00 „Wymagania ogólne” pkt 2.</w:t>
      </w:r>
    </w:p>
    <w:p w14:paraId="2535BBE9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lastRenderedPageBreak/>
        <w:t xml:space="preserve">2.2. Grysy bazaltowe </w:t>
      </w:r>
    </w:p>
    <w:p w14:paraId="1976AFAA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2.2.1.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Wymagania dotyczące grysów bazaltowych</w:t>
      </w:r>
    </w:p>
    <w:p w14:paraId="793DD450" w14:textId="18C250AB" w:rsidR="003B37F8" w:rsidRDefault="003B37F8" w:rsidP="003B37F8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Do wykonania pojedynczego powierzchniowego utrwalenia należy stosować grysy bazaltowe płukane o frakcji 2/5 mm.</w:t>
      </w:r>
    </w:p>
    <w:p w14:paraId="1AC36C38" w14:textId="3B4ED6A3" w:rsidR="00F71901" w:rsidRDefault="00F71901" w:rsidP="00F7190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 wykonania po</w:t>
      </w:r>
      <w:r w:rsidR="00926D98">
        <w:rPr>
          <w:rFonts w:ascii="Times New Roman" w:eastAsia="Times New Roman" w:hAnsi="Times New Roman"/>
          <w:sz w:val="24"/>
          <w:szCs w:val="24"/>
          <w:lang w:eastAsia="pl-PL"/>
        </w:rPr>
        <w:t>dwójnego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powierzchniowego utrwalenia należy stosować grysy bazaltowe płukane o frakcji 2/5 i 5/8 mm.</w:t>
      </w:r>
    </w:p>
    <w:p w14:paraId="5406ECCF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2.3. Lepiszcza</w:t>
      </w:r>
    </w:p>
    <w:p w14:paraId="28B7A2D5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2.3.1.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Wymagania dla lepiszczy</w:t>
      </w:r>
    </w:p>
    <w:p w14:paraId="27EE92DB" w14:textId="70275191" w:rsidR="003B37F8" w:rsidRDefault="003B37F8" w:rsidP="003B37F8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Niniejsza SST uwzględnia jako lepiszcze do powierzchniowego utrwalenia, drogowe kationowe emulsje asfaltowe szybkorozpadowe modyfikowane rodzaju C 69 BP3 PU. </w:t>
      </w:r>
    </w:p>
    <w:p w14:paraId="0684AE5C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2B21A7E2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532663D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3. SPRZĘT</w:t>
      </w:r>
    </w:p>
    <w:p w14:paraId="39890388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3.1. Ogólne wymagania dotyczące sprzętu</w:t>
      </w:r>
    </w:p>
    <w:p w14:paraId="58595C49" w14:textId="0931B33E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Do wykonania powierzchniowego utrwalenia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wymaga użycia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kombajnu drogowego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(zestaw zespolony skrapiarka + rozsypywacz grysu), </w:t>
      </w:r>
      <w:r w:rsidR="00F7190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z elektronicznym sterowaniem i rejestracją rzeczywistego wydatku lepiszcza, zbiornik                min. 10.000l z podgrzewaniem do emulsji i zasobnik min. 8m</w:t>
      </w:r>
      <w:r>
        <w:rPr>
          <w:rFonts w:ascii="Times New Roman" w:eastAsia="Times New Roman" w:hAnsi="Times New Roman"/>
          <w:bCs/>
          <w:sz w:val="24"/>
          <w:szCs w:val="24"/>
          <w:vertAlign w:val="superscript"/>
          <w:lang w:eastAsia="pl-PL"/>
        </w:rPr>
        <w:t>3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na grys, szerokość robocza: min. 0,3m, max. 3m – 1 szt., szczotka mechaniczna – 1 szt., walec drogowy ogumiony – 1 szt.</w:t>
      </w:r>
    </w:p>
    <w:p w14:paraId="77363B3A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68B10AF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00C0A13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4. TRANSPORT</w:t>
      </w:r>
    </w:p>
    <w:p w14:paraId="78EB6885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4.1. Ogólne wymagania dotyczące transportu</w:t>
      </w:r>
    </w:p>
    <w:p w14:paraId="7A15AC8D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wymagania dotyczące transportu podano w OST D-M-00.00.00 „Wymagania ogólne” pkt 4.</w:t>
      </w:r>
    </w:p>
    <w:p w14:paraId="2C898F57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44CC8A9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0BABCE3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5. WYKONANIE ROBÓT</w:t>
      </w:r>
    </w:p>
    <w:p w14:paraId="16ECFA81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5.1. Ogólne zasady wykonania robót</w:t>
      </w:r>
    </w:p>
    <w:p w14:paraId="1C52D685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zasady wykonania robót podano w OST D-M-00.00.00 „Wymagania ogólne” pkt 5.</w:t>
      </w:r>
    </w:p>
    <w:p w14:paraId="30FC7F60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5.2. Założenia ogólne</w:t>
      </w:r>
    </w:p>
    <w:p w14:paraId="61AF59E8" w14:textId="0F733E36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Powierzchniowe utrwalenie jest zabiegiem, który pozwala na uszczelnienie istniejącej nawierzchni, zapewnia dobre właściwości przeciwpoślizgowe warstwy ścieralnej, natomiast nie wpływa na poprawę jej nośności.</w:t>
      </w:r>
    </w:p>
    <w:p w14:paraId="1F18FB2D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lastRenderedPageBreak/>
        <w:t>5.3. Warunki przystąpienia do robót</w:t>
      </w:r>
    </w:p>
    <w:p w14:paraId="1C68C012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Nie dopuszcza się wykonywania robót podczas opadów atmosferycznych i temp. otoczenia poniżej +15°C oraz temp. remontowanej nawierzchni niższej niż +10°C. </w:t>
      </w:r>
    </w:p>
    <w:p w14:paraId="799D3A64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5.4. Oznakowanie robót</w:t>
      </w:r>
    </w:p>
    <w:p w14:paraId="1FD615F3" w14:textId="0736732B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Ze względu na specyfikę robót przy wykonywaniu powierzchniowego utrwalenia, Wykonawca w sposób szczególny jest zobowiązany do przestrzegania postanowień zawartych w OST D-M-00.00.00 „Wymagania ogólne” pkt 1.5.4, a dotyczących zasad zachowania bezpieczeństwa ruchu drogowego w czasie prowadzenia robót.</w:t>
      </w:r>
    </w:p>
    <w:p w14:paraId="7314DC6C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Znaki powinny być odblaskowe, czyste i w razie potrzeby czyszczone, odnawiane              lub wymieniane na nowe. </w:t>
      </w:r>
    </w:p>
    <w:p w14:paraId="02591094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2DDD9C43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9C08D69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6. KONTROLA JAKOŚCI ROBÓT</w:t>
      </w:r>
    </w:p>
    <w:p w14:paraId="5AFDC22B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6.1. Ogólne zasady kontroli jakości robót</w:t>
      </w:r>
    </w:p>
    <w:p w14:paraId="540EE155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zasady kontroli jakości robót podano w OST D-M-00.00.00 „Wymagania ogólne” pkt 6.</w:t>
      </w:r>
    </w:p>
    <w:p w14:paraId="59E7616E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9193DA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7E1D256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7. OBMIAR ROBÓT</w:t>
      </w:r>
    </w:p>
    <w:p w14:paraId="4D4EF34D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7.1. Ogólne zasady obmiaru robót</w:t>
      </w:r>
    </w:p>
    <w:p w14:paraId="68D8A471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zasady obmiaru robót podano w OST D-M-00.00.00 „Wymagania ogólne”  pkt 7.</w:t>
      </w:r>
    </w:p>
    <w:p w14:paraId="5A296A3A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1DD117C" w14:textId="595CF8D5" w:rsidR="003B37F8" w:rsidRDefault="00AD052D" w:rsidP="003B37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Powierzchniowe utrwalenie </w:t>
      </w:r>
      <w:r w:rsidR="003B37F8">
        <w:rPr>
          <w:rFonts w:ascii="Times New Roman" w:eastAsia="Times New Roman" w:hAnsi="Times New Roman"/>
          <w:sz w:val="24"/>
          <w:szCs w:val="24"/>
          <w:lang w:eastAsia="pl-PL"/>
        </w:rPr>
        <w:t>realizowan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="003B37F8">
        <w:rPr>
          <w:rFonts w:ascii="Times New Roman" w:eastAsia="Times New Roman" w:hAnsi="Times New Roman"/>
          <w:sz w:val="24"/>
          <w:szCs w:val="24"/>
          <w:lang w:eastAsia="pl-PL"/>
        </w:rPr>
        <w:t xml:space="preserve"> będzie wg faktycznie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B37F8">
        <w:rPr>
          <w:rFonts w:ascii="Times New Roman" w:eastAsia="Times New Roman" w:hAnsi="Times New Roman"/>
          <w:sz w:val="24"/>
          <w:szCs w:val="24"/>
          <w:lang w:eastAsia="pl-PL"/>
        </w:rPr>
        <w:t>wykonanych m</w:t>
      </w:r>
      <w:r w:rsidR="003B37F8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2</w:t>
      </w:r>
      <w:r w:rsidR="003B37F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18F4706E" w14:textId="77777777" w:rsidR="003B37F8" w:rsidRDefault="003B37F8" w:rsidP="003B37F8">
      <w:pPr>
        <w:spacing w:after="12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489F025" w14:textId="77777777" w:rsidR="003B37F8" w:rsidRDefault="003B37F8" w:rsidP="003B37F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ACEB785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8. ODBIÓR ROBÓT</w:t>
      </w:r>
    </w:p>
    <w:p w14:paraId="176361BB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5AA8F283" w14:textId="77777777" w:rsidR="003B37F8" w:rsidRDefault="003B37F8" w:rsidP="003B3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E6C728B" w14:textId="77777777" w:rsidR="003B37F8" w:rsidRDefault="003B37F8" w:rsidP="003B37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zasady odbioru robót podano w OST D-M-00.00.00 „Wymagania ogólne”           pkt 8.</w:t>
      </w:r>
    </w:p>
    <w:p w14:paraId="41730800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506C91B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205DFA3C" w14:textId="77777777" w:rsidR="003B37F8" w:rsidRDefault="003B37F8" w:rsidP="003B3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9. PODSTAWA PŁATNOŚCI</w:t>
      </w:r>
    </w:p>
    <w:p w14:paraId="50559927" w14:textId="77777777" w:rsidR="003B37F8" w:rsidRDefault="003B37F8" w:rsidP="003B37F8">
      <w:pPr>
        <w:keepNext/>
        <w:shd w:val="clear" w:color="auto" w:fill="FFFFFF"/>
        <w:spacing w:before="571"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w w:val="90"/>
          <w:sz w:val="24"/>
          <w:szCs w:val="15"/>
          <w:lang w:eastAsia="pl-PL"/>
        </w:rPr>
        <w:t>9.1. Ogólne ustalenia dotyczące podstawy płatności</w:t>
      </w:r>
    </w:p>
    <w:p w14:paraId="51F8A110" w14:textId="74BDEF30" w:rsidR="003B37F8" w:rsidRDefault="003B37F8" w:rsidP="00DD6658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Ogólne ustalenia dotyczące podstawy płatności podano w OST D-M-00.00.00 „Wymagania ogólne” pkt 9.</w:t>
      </w:r>
    </w:p>
    <w:p w14:paraId="7BA70515" w14:textId="1CFDD2D9" w:rsidR="000E71A2" w:rsidRDefault="000E71A2" w:rsidP="003B37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0E71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6CEF" w14:textId="77777777" w:rsidR="00C54874" w:rsidRDefault="00C54874" w:rsidP="000E71A2">
      <w:pPr>
        <w:spacing w:after="0" w:line="240" w:lineRule="auto"/>
      </w:pPr>
      <w:r>
        <w:separator/>
      </w:r>
    </w:p>
  </w:endnote>
  <w:endnote w:type="continuationSeparator" w:id="0">
    <w:p w14:paraId="1A90C492" w14:textId="77777777" w:rsidR="00C54874" w:rsidRDefault="00C54874" w:rsidP="000E7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2474938"/>
      <w:docPartObj>
        <w:docPartGallery w:val="Page Numbers (Bottom of Page)"/>
        <w:docPartUnique/>
      </w:docPartObj>
    </w:sdtPr>
    <w:sdtEndPr/>
    <w:sdtContent>
      <w:p w14:paraId="30374482" w14:textId="77777777" w:rsidR="000E71A2" w:rsidRDefault="000E71A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468">
          <w:rPr>
            <w:noProof/>
          </w:rPr>
          <w:t>31</w:t>
        </w:r>
        <w:r>
          <w:fldChar w:fldCharType="end"/>
        </w:r>
      </w:p>
    </w:sdtContent>
  </w:sdt>
  <w:p w14:paraId="534BFC1A" w14:textId="77777777" w:rsidR="000E71A2" w:rsidRDefault="000E71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34B0" w14:textId="77777777" w:rsidR="00C54874" w:rsidRDefault="00C54874" w:rsidP="000E71A2">
      <w:pPr>
        <w:spacing w:after="0" w:line="240" w:lineRule="auto"/>
      </w:pPr>
      <w:r>
        <w:separator/>
      </w:r>
    </w:p>
  </w:footnote>
  <w:footnote w:type="continuationSeparator" w:id="0">
    <w:p w14:paraId="123D5457" w14:textId="77777777" w:rsidR="00C54874" w:rsidRDefault="00C54874" w:rsidP="000E7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4E539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F11203"/>
    <w:multiLevelType w:val="singleLevel"/>
    <w:tmpl w:val="7FAA0382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7CA08B4"/>
    <w:multiLevelType w:val="singleLevel"/>
    <w:tmpl w:val="551C787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0B904EA0"/>
    <w:multiLevelType w:val="singleLevel"/>
    <w:tmpl w:val="551C787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6876147"/>
    <w:multiLevelType w:val="singleLevel"/>
    <w:tmpl w:val="551C787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21283DA3"/>
    <w:multiLevelType w:val="singleLevel"/>
    <w:tmpl w:val="98C41B4C"/>
    <w:lvl w:ilvl="0">
      <w:start w:val="1"/>
      <w:numFmt w:val="decimal"/>
      <w:lvlText w:val="%1."/>
      <w:legacy w:legacy="1" w:legacySpace="57" w:legacyIndent="340"/>
      <w:lvlJc w:val="left"/>
      <w:pPr>
        <w:ind w:left="341" w:hanging="340"/>
      </w:pPr>
    </w:lvl>
  </w:abstractNum>
  <w:abstractNum w:abstractNumId="6" w15:restartNumberingAfterBreak="0">
    <w:nsid w:val="2D276E16"/>
    <w:multiLevelType w:val="singleLevel"/>
    <w:tmpl w:val="42808802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3EE347EE"/>
    <w:multiLevelType w:val="hybridMultilevel"/>
    <w:tmpl w:val="593838D4"/>
    <w:lvl w:ilvl="0" w:tplc="5F524034">
      <w:start w:val="10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973306"/>
    <w:multiLevelType w:val="singleLevel"/>
    <w:tmpl w:val="551C787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58980D58"/>
    <w:multiLevelType w:val="singleLevel"/>
    <w:tmpl w:val="96AA79E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7E3F037A"/>
    <w:multiLevelType w:val="singleLevel"/>
    <w:tmpl w:val="551C787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154756827">
    <w:abstractNumId w:val="9"/>
    <w:lvlOverride w:ilvl="0">
      <w:startOverride w:val="1"/>
    </w:lvlOverride>
  </w:num>
  <w:num w:numId="2" w16cid:durableId="661663288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 w16cid:durableId="2026206989">
    <w:abstractNumId w:val="8"/>
    <w:lvlOverride w:ilvl="0">
      <w:startOverride w:val="1"/>
    </w:lvlOverride>
  </w:num>
  <w:num w:numId="4" w16cid:durableId="1879855157">
    <w:abstractNumId w:val="1"/>
    <w:lvlOverride w:ilvl="0">
      <w:startOverride w:val="2"/>
    </w:lvlOverride>
  </w:num>
  <w:num w:numId="5" w16cid:durableId="1339305735">
    <w:abstractNumId w:val="10"/>
    <w:lvlOverride w:ilvl="0">
      <w:startOverride w:val="1"/>
    </w:lvlOverride>
  </w:num>
  <w:num w:numId="6" w16cid:durableId="655498677">
    <w:abstractNumId w:val="6"/>
    <w:lvlOverride w:ilvl="0">
      <w:startOverride w:val="1"/>
    </w:lvlOverride>
  </w:num>
  <w:num w:numId="7" w16cid:durableId="1834372222">
    <w:abstractNumId w:val="3"/>
    <w:lvlOverride w:ilvl="0">
      <w:startOverride w:val="1"/>
    </w:lvlOverride>
  </w:num>
  <w:num w:numId="8" w16cid:durableId="97019696">
    <w:abstractNumId w:val="2"/>
    <w:lvlOverride w:ilvl="0">
      <w:startOverride w:val="1"/>
    </w:lvlOverride>
  </w:num>
  <w:num w:numId="9" w16cid:durableId="165092496">
    <w:abstractNumId w:val="4"/>
    <w:lvlOverride w:ilvl="0">
      <w:startOverride w:val="1"/>
    </w:lvlOverride>
  </w:num>
  <w:num w:numId="10" w16cid:durableId="451754605">
    <w:abstractNumId w:val="5"/>
    <w:lvlOverride w:ilvl="0">
      <w:startOverride w:val="1"/>
    </w:lvlOverride>
  </w:num>
  <w:num w:numId="11" w16cid:durableId="1481268477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1A2"/>
    <w:rsid w:val="000E71A2"/>
    <w:rsid w:val="00180DE1"/>
    <w:rsid w:val="002C1142"/>
    <w:rsid w:val="003B37F8"/>
    <w:rsid w:val="003C53C8"/>
    <w:rsid w:val="004D778B"/>
    <w:rsid w:val="005B0FFA"/>
    <w:rsid w:val="00612C5B"/>
    <w:rsid w:val="006B405F"/>
    <w:rsid w:val="0079601C"/>
    <w:rsid w:val="00926D98"/>
    <w:rsid w:val="009C073E"/>
    <w:rsid w:val="00A90468"/>
    <w:rsid w:val="00AD052D"/>
    <w:rsid w:val="00B77E21"/>
    <w:rsid w:val="00B81E7B"/>
    <w:rsid w:val="00C54874"/>
    <w:rsid w:val="00CF02A5"/>
    <w:rsid w:val="00DD6658"/>
    <w:rsid w:val="00F7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01D2"/>
  <w15:docId w15:val="{1EA004EE-840D-4D2E-AF32-9D030C2A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1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7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1A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7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1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PZD Żyrardow</cp:lastModifiedBy>
  <cp:revision>8</cp:revision>
  <dcterms:created xsi:type="dcterms:W3CDTF">2022-03-01T09:44:00Z</dcterms:created>
  <dcterms:modified xsi:type="dcterms:W3CDTF">2026-04-16T12:20:00Z</dcterms:modified>
</cp:coreProperties>
</file>